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bCs/>
          <w:i w:val="0"/>
          <w:iCs w:val="0"/>
          <w:caps w:val="0"/>
          <w:color w:val="000000"/>
          <w:spacing w:val="0"/>
          <w:sz w:val="36"/>
          <w:szCs w:val="36"/>
        </w:rPr>
      </w:pP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中国共产党问责条例</w:t>
      </w:r>
      <w:bookmarkEnd w:id="0"/>
      <w:r>
        <w:rPr>
          <w:rFonts w:hint="eastAsia" w:ascii="微软雅黑" w:hAnsi="微软雅黑" w:eastAsia="微软雅黑" w:cs="微软雅黑"/>
          <w:b/>
          <w:bCs/>
          <w:i w:val="0"/>
          <w:iCs w:val="0"/>
          <w:caps w:val="0"/>
          <w:color w:val="000000"/>
          <w:spacing w:val="0"/>
          <w:sz w:val="36"/>
          <w:szCs w:val="36"/>
          <w:bdr w:val="none" w:color="auto" w:sz="0" w:space="0"/>
          <w:shd w:val="clear" w:fill="FFFFFF"/>
        </w:rPr>
        <w:t>（全文）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微软雅黑" w:hAnsi="微软雅黑" w:eastAsia="微软雅黑" w:cs="微软雅黑"/>
          <w:caps w:val="0"/>
          <w:color w:val="000000"/>
          <w:spacing w:val="0"/>
          <w:sz w:val="27"/>
          <w:szCs w:val="27"/>
          <w:bdr w:val="none" w:color="auto" w:sz="0" w:space="0"/>
          <w:shd w:val="clear" w:fill="FFFFFF"/>
        </w:rPr>
        <w:t>　　</w:t>
      </w:r>
      <w:r>
        <w:rPr>
          <w:rFonts w:hint="eastAsia" w:ascii="方正仿宋_GBK" w:hAnsi="方正仿宋_GBK" w:eastAsia="方正仿宋_GBK" w:cs="方正仿宋_GBK"/>
          <w:caps w:val="0"/>
          <w:color w:val="000000"/>
          <w:spacing w:val="0"/>
          <w:sz w:val="32"/>
          <w:szCs w:val="32"/>
          <w:bdr w:val="none" w:color="auto" w:sz="0" w:space="0"/>
          <w:shd w:val="clear" w:fill="FFFFFF"/>
        </w:rPr>
        <w:t>第一条  为了坚持党的领导，加强党的建设，全面从严治党，保证党的路线方针政策和党中央重大决策部署贯彻落实，规范和强化党的问责工作，根据《中国共产党章程》，制定本条例。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第三条  党的问责工作应当坚持以下原则：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（一）依规依纪、实事求是；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（二）失责必问、问责必严；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（三）权责一致、错责相当；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（四）严管和厚爱结合、激励和约束并重；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（五）惩前毖后、治病救人；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（六）集体决定、分清责任。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第四条  党委（党组）应当履行全面从严治党主体责任，加强对本地区本部门本单位问责工作的领导，追究在党的建设、党的事业中失职失责党组织和党的领导干部的主体责任、监督责任、领导责任。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纪委应当履行监督专责，协助同级党委开展问责工作。纪委派驻（派出）机构按照职责权限开展问责工作。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党的工作机关应当依据职能履行监督职责，实施本机关本系统本领域的问责工作。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第五条  问责对象是党组织、党的领导干部，重点是党委（党组）、党的工作机关及其领导成员，纪委、纪委派驻（派出）机构及其领导成员。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对党组织问责的，应当同时对该党组织中负有责任的领导班子成员进行问责。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党组织和党的领导干部应当坚持把自己摆进去、把职责摆进去、把工作摆进去，注重从自身找问题、查原因，勇于担当、敢于负责，不得向下级党组织和干部推卸责任。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第七条  党组织、党的领导干部违反党章和其他党内法规，不履行或者不正确履行职责，有下列情形之一，应当予以问责：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（三）党的思想建设缺失，党性教育特别是理想信念宗旨教育流于形式，意识形态工作责任制落实不到位，造成严重后果或者恶劣影响的；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（六）党的纪律建设抓得不严，维护党的政治纪律、组织纪律、廉洁纪律、群众纪律、工作纪律、生活纪律不力，导致违规违纪行为多发，造成恶劣影响的；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七）推进党风廉政建设和反腐败斗争不坚决、不扎实，削减存量、遏制增量不力，特别是对不收敛、不收手，问题线索反映集中、群众反映强烈，政治问题和经济问题交织的腐败案件放任不管，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（九）履行管理、监督职责不力，职责范围内发生重特大生产安全事故、群体性事件、公共安全事件，或者发生其他严重事故、事件，造成重大损失或者恶劣影响的；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（十一）其他应当问责的失职失责情形。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第八条  对党组织的问责，根据危害程度以及具体情况，可以采取以下方式：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（一）检查。责令作出书面检查并切实整改。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（二）通报。责令整改，并在一定范围内通报。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（三）改组。对失职失责，严重违犯党的纪律、本身又不能纠正的，应当予以改组。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对党的领导干部的问责，根据危害程度以及具体情况，可以采取以下方式：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（一）通报。进行严肃批评，责令作出书面检查、切实整改，并在一定范围内通报。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（二）诫勉。以谈话或者书面方式进行诫勉。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（三）组织调整或者组织处理。对失职失责、危害较重，不适宜担任现职的，应当根据情况采取停职检查、调整职务、责令辞职、免职、降职等措施。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（四）纪律处分。对失职失责、危害严重，应当给予纪律处分的，依照《中国共产党纪律处分条例》追究纪律责任。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上述问责方式，可以单独使用，也可以依据规定合并使用。问责方式有影响期的，按照有关规定执行。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应当启动问责调查未及时启动的，上级党组织应当责令有管理权限的党组织启动。根据问题性质或者工作需要，上级党组织可以直接启动问责调查，也可以指定其他党组织启动。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对被立案审查的党组织、党的领导干部问责的，不再另行启动问责调查程序。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调查工作结束后，调查组应当集体讨论，形成调查报告，列明调查对象基本情况、调查依据、调查过程，问责事实，调查对象的态度、认识及其申辩，处理意见以及依据，由调查组组长以及有关人员签名后，履行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第十二条  问责决定应当由有管理权限的党组织作出。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对同级党委直接领导的党组织，纪委和党的工作机关报经同级党委或者其主要负责人批准，可以采取检查、通报方式进行问责。采取改组方式问责的，按照党章和有关党内法规规定的权限、程序执行。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第十四条  被问责党组织、被问责领导干部及其所在党组织应当深刻汲取教训，明确整改措施。作出问责决定的党组织应当加强督促检查，推动以案促改。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第十五条  需要对问责对象作出政务处分或者其他处理的，作出问责决定的党组织应当通报相关单位，相关单位应当及时处理并将结果通报或者报告作出问责决定的党组织。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第十六条  实行终身问责，对失职失责性质恶劣、后果严重的，不论其责任人是否调离转岗、提拔或者退休等，都应当严肃问责。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第十七条  有下列情形之一的，可以不予问责或者免予问责：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（一）在推进改革中因缺乏经验、先行先试出现的失误，尚无明确限制的探索性试验中的失误，为推动发展的无意过失；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（二）在集体决策中对错误决策提出明确反对意见或者保留意见的；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（三）在决策实施中已经履职尽责，但因不可抗力、难以预见等因素造成损失的。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对上级错误决定提出改正或者撤销意见未被采纳，而出现本条例第七条所列问责情形的，依照前款规定处理。上级错误决定明显违法违规的，应当承担相应的责任。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第十八条  有下列情形之一，可以从轻或者减轻问责：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（一）及时采取补救措施，有效挽回损失或者消除不良影响的；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（二）积极配合问责调查工作，主动承担责任的；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（三）党内法规规定的其他从轻、减轻情形。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第十九条  有下列情形之一，应当从重或者加重问责：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（一）对党中央、上级党组织三令五申的指示要求，不执行或者执行不力的；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（二）在接受问责调查和处理中，不如实报告情况，敷衍塞责、推卸责任，或者唆使、默许有关部门和人员弄虚作假，阻扰问责工作的；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（三）党内法规规定的其他从重、加重情形。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申诉期间，不停止问责决定的执行。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党组织、党的领导干部滥用问责，或者在问责工作中严重不负责任，造成不良影响的，应当严肃追究责任。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第二十二条  正确对待被问责干部，对影响期满、表现好的干部，符合条件的，按照干部选拔任用有关规定正常使用。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第二十三条  本条例所涉及的审批权限均指最低审批权限，工作中根据需要可以按照更高层级的审批权限报批。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第二十四条  纪委派驻（派出）机构除执行本条例外，还应当执行党中央以及中央纪委相关规定。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第二十五条  中央军事委员会可以根据本条例制定相关规定。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第二十六条  本条例由中央纪律检查委员会负责解释。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left="0" w:right="0" w:firstLine="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aps w:val="0"/>
          <w:color w:val="000000"/>
          <w:spacing w:val="0"/>
          <w:sz w:val="32"/>
          <w:szCs w:val="32"/>
          <w:bdr w:val="none" w:color="auto" w:sz="0" w:space="0"/>
          <w:shd w:val="clear" w:fill="FFFFFF"/>
        </w:rPr>
        <w:t>　　第二十七条  本条例自2019年9月1日起施行。2016年7月8日中共中央印发的《中国共产党问责条例》同时废止。此前发布的有关问责的规定，凡与本条例不一致的，按照本条例执行。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D1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2022-02-15T00:23:03Z</dcterms:created>
  <dc:creator>Administrator</dc:creator>
  <cp:lastModifiedBy>文忠秋</cp:lastModifiedBy>
  <dcterms:modified xsi:type="dcterms:W3CDTF">2022-02-15T00:23:28Z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EAED6394FCD34E9F87B2724BE8B5D2D5</vt:lpwstr>
  </property>
</Properties>
</file>